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587B" w:rsidRPr="000A15D1" w:rsidRDefault="00D0587B" w:rsidP="00D0587B">
      <w:pPr>
        <w:pStyle w:val="Header"/>
        <w:tabs>
          <w:tab w:val="clear" w:pos="4320"/>
          <w:tab w:val="left" w:pos="5940"/>
        </w:tabs>
        <w:spacing w:after="60"/>
        <w:jc w:val="center"/>
        <w:rPr>
          <w:b/>
          <w:caps/>
          <w:sz w:val="22"/>
          <w:szCs w:val="22"/>
        </w:rPr>
      </w:pPr>
      <w:r w:rsidRPr="000A15D1">
        <w:rPr>
          <w:b/>
          <w:caps/>
          <w:sz w:val="22"/>
          <w:szCs w:val="22"/>
        </w:rPr>
        <w:t>Public Notice of Intent to Issue Air Permit</w:t>
      </w:r>
    </w:p>
    <w:p w:rsidR="00D0587B" w:rsidRPr="000A15D1" w:rsidRDefault="00D0587B" w:rsidP="00D0587B">
      <w:pPr>
        <w:jc w:val="center"/>
        <w:rPr>
          <w:sz w:val="22"/>
          <w:szCs w:val="22"/>
        </w:rPr>
      </w:pPr>
      <w:r w:rsidRPr="000A15D1">
        <w:rPr>
          <w:sz w:val="22"/>
          <w:szCs w:val="22"/>
        </w:rPr>
        <w:t>Florida Department of Environmental Protection (Department)</w:t>
      </w:r>
    </w:p>
    <w:p w:rsidR="00D0587B" w:rsidRPr="000A15D1" w:rsidRDefault="00D0587B" w:rsidP="00D0587B">
      <w:pPr>
        <w:spacing w:after="120"/>
        <w:jc w:val="center"/>
        <w:rPr>
          <w:sz w:val="22"/>
          <w:szCs w:val="22"/>
        </w:rPr>
      </w:pPr>
      <w:r w:rsidRPr="000A15D1">
        <w:rPr>
          <w:sz w:val="22"/>
          <w:szCs w:val="22"/>
        </w:rPr>
        <w:t>Division of Air Resource Management, Office of Permitting and Compliance</w:t>
      </w:r>
    </w:p>
    <w:p w:rsidR="00D0587B" w:rsidRPr="000A15D1" w:rsidRDefault="00D0587B" w:rsidP="00D0587B">
      <w:pPr>
        <w:jc w:val="center"/>
        <w:outlineLvl w:val="0"/>
        <w:rPr>
          <w:sz w:val="22"/>
          <w:szCs w:val="22"/>
        </w:rPr>
      </w:pPr>
      <w:r w:rsidRPr="000A15D1">
        <w:rPr>
          <w:sz w:val="22"/>
          <w:szCs w:val="22"/>
        </w:rPr>
        <w:t xml:space="preserve">DEP File No. </w:t>
      </w:r>
      <w:r w:rsidR="00AB797F" w:rsidRPr="000A15D1">
        <w:rPr>
          <w:sz w:val="22"/>
          <w:szCs w:val="22"/>
        </w:rPr>
        <w:t>1050444-00</w:t>
      </w:r>
      <w:r w:rsidR="00013CAF" w:rsidRPr="000A15D1">
        <w:rPr>
          <w:sz w:val="22"/>
          <w:szCs w:val="22"/>
        </w:rPr>
        <w:t>2</w:t>
      </w:r>
      <w:r w:rsidR="00AB797F" w:rsidRPr="000A15D1">
        <w:rPr>
          <w:sz w:val="22"/>
          <w:szCs w:val="22"/>
        </w:rPr>
        <w:t>-AC</w:t>
      </w:r>
    </w:p>
    <w:p w:rsidR="00D0587B" w:rsidRPr="000A15D1" w:rsidRDefault="00AB797F" w:rsidP="00D0587B">
      <w:pPr>
        <w:widowControl w:val="0"/>
        <w:jc w:val="center"/>
        <w:rPr>
          <w:sz w:val="22"/>
          <w:szCs w:val="22"/>
        </w:rPr>
      </w:pPr>
      <w:r w:rsidRPr="000A15D1">
        <w:rPr>
          <w:sz w:val="22"/>
          <w:szCs w:val="22"/>
        </w:rPr>
        <w:t>U.S. EcoGen Polk Generating Facility</w:t>
      </w:r>
    </w:p>
    <w:p w:rsidR="00D0587B" w:rsidRPr="000A15D1" w:rsidRDefault="00AB797F" w:rsidP="000A15D1">
      <w:pPr>
        <w:spacing w:after="240"/>
        <w:jc w:val="center"/>
        <w:rPr>
          <w:sz w:val="22"/>
          <w:szCs w:val="22"/>
        </w:rPr>
      </w:pPr>
      <w:r w:rsidRPr="000A15D1">
        <w:rPr>
          <w:sz w:val="22"/>
          <w:szCs w:val="22"/>
        </w:rPr>
        <w:t>Polk</w:t>
      </w:r>
      <w:r w:rsidR="00741119" w:rsidRPr="000A15D1">
        <w:rPr>
          <w:sz w:val="22"/>
          <w:szCs w:val="22"/>
        </w:rPr>
        <w:t xml:space="preserve"> County</w:t>
      </w:r>
      <w:r w:rsidR="00D0587B" w:rsidRPr="000A15D1">
        <w:rPr>
          <w:sz w:val="22"/>
          <w:szCs w:val="22"/>
        </w:rPr>
        <w:t>, Florida</w:t>
      </w:r>
    </w:p>
    <w:p w:rsidR="00640C6E" w:rsidRPr="000A15D1" w:rsidRDefault="00D0587B" w:rsidP="00640C6E">
      <w:pPr>
        <w:spacing w:after="120"/>
        <w:rPr>
          <w:bCs/>
          <w:sz w:val="22"/>
          <w:szCs w:val="22"/>
        </w:rPr>
      </w:pPr>
      <w:r w:rsidRPr="000A15D1">
        <w:rPr>
          <w:b/>
          <w:sz w:val="22"/>
          <w:szCs w:val="22"/>
        </w:rPr>
        <w:t>Applicant</w:t>
      </w:r>
      <w:r w:rsidRPr="000A15D1">
        <w:rPr>
          <w:sz w:val="22"/>
          <w:szCs w:val="22"/>
        </w:rPr>
        <w:t xml:space="preserve">:  </w:t>
      </w:r>
      <w:r w:rsidR="00AB797F" w:rsidRPr="000A15D1">
        <w:rPr>
          <w:bCs/>
          <w:sz w:val="22"/>
          <w:szCs w:val="22"/>
        </w:rPr>
        <w:t>U.S. EcoGen Polk, LLC</w:t>
      </w:r>
      <w:r w:rsidR="00112672" w:rsidRPr="000A15D1">
        <w:rPr>
          <w:bCs/>
          <w:sz w:val="22"/>
          <w:szCs w:val="22"/>
        </w:rPr>
        <w:t xml:space="preserve"> (US EcoGen)</w:t>
      </w:r>
      <w:r w:rsidRPr="000A15D1">
        <w:rPr>
          <w:sz w:val="22"/>
          <w:szCs w:val="22"/>
        </w:rPr>
        <w:t xml:space="preserve">.  The applicant’s authorized representative and mailing address </w:t>
      </w:r>
      <w:r w:rsidR="007A6D4C" w:rsidRPr="000A15D1">
        <w:rPr>
          <w:sz w:val="22"/>
          <w:szCs w:val="22"/>
        </w:rPr>
        <w:t>is</w:t>
      </w:r>
      <w:r w:rsidRPr="000A15D1">
        <w:rPr>
          <w:sz w:val="22"/>
          <w:szCs w:val="22"/>
        </w:rPr>
        <w:t xml:space="preserve">:  </w:t>
      </w:r>
      <w:r w:rsidR="00AB797F" w:rsidRPr="000A15D1">
        <w:rPr>
          <w:bCs/>
          <w:sz w:val="22"/>
          <w:szCs w:val="22"/>
        </w:rPr>
        <w:t>Mr. William F. Quinn</w:t>
      </w:r>
      <w:r w:rsidRPr="000A15D1">
        <w:rPr>
          <w:sz w:val="22"/>
          <w:szCs w:val="22"/>
        </w:rPr>
        <w:t xml:space="preserve">, </w:t>
      </w:r>
      <w:r w:rsidR="00AB797F" w:rsidRPr="000A15D1">
        <w:rPr>
          <w:sz w:val="22"/>
          <w:szCs w:val="22"/>
        </w:rPr>
        <w:t xml:space="preserve">President, </w:t>
      </w:r>
      <w:r w:rsidR="00AB797F" w:rsidRPr="000A15D1">
        <w:rPr>
          <w:bCs/>
          <w:sz w:val="22"/>
          <w:szCs w:val="22"/>
        </w:rPr>
        <w:t>U.S. EcoGen Polk, LLC</w:t>
      </w:r>
      <w:r w:rsidRPr="000A15D1">
        <w:rPr>
          <w:sz w:val="22"/>
          <w:szCs w:val="22"/>
        </w:rPr>
        <w:t xml:space="preserve">, </w:t>
      </w:r>
      <w:proofErr w:type="gramStart"/>
      <w:r w:rsidR="00640C6E" w:rsidRPr="000A15D1">
        <w:rPr>
          <w:bCs/>
          <w:sz w:val="22"/>
          <w:szCs w:val="22"/>
        </w:rPr>
        <w:t>601</w:t>
      </w:r>
      <w:proofErr w:type="gramEnd"/>
      <w:r w:rsidR="00640C6E" w:rsidRPr="000A15D1">
        <w:rPr>
          <w:bCs/>
          <w:sz w:val="22"/>
          <w:szCs w:val="22"/>
        </w:rPr>
        <w:t xml:space="preserve"> Heritage Drive, Suite 127, Jupiter, Florida 33458</w:t>
      </w:r>
      <w:r w:rsidR="00595F75" w:rsidRPr="000A15D1">
        <w:rPr>
          <w:bCs/>
          <w:sz w:val="22"/>
          <w:szCs w:val="22"/>
        </w:rPr>
        <w:t>.</w:t>
      </w:r>
    </w:p>
    <w:p w:rsidR="00D0587B" w:rsidRPr="000A15D1" w:rsidRDefault="00D0587B" w:rsidP="00D0587B">
      <w:pPr>
        <w:spacing w:before="120" w:after="120"/>
        <w:rPr>
          <w:sz w:val="22"/>
          <w:szCs w:val="22"/>
        </w:rPr>
      </w:pPr>
      <w:r w:rsidRPr="000A15D1">
        <w:rPr>
          <w:b/>
          <w:sz w:val="22"/>
          <w:szCs w:val="22"/>
        </w:rPr>
        <w:t>Facility Location</w:t>
      </w:r>
      <w:r w:rsidRPr="000A15D1">
        <w:rPr>
          <w:sz w:val="22"/>
          <w:szCs w:val="22"/>
        </w:rPr>
        <w:t xml:space="preserve">:  </w:t>
      </w:r>
      <w:r w:rsidR="000A15D1">
        <w:rPr>
          <w:sz w:val="22"/>
          <w:szCs w:val="22"/>
        </w:rPr>
        <w:t>County Road (CR)</w:t>
      </w:r>
      <w:r w:rsidR="00D74D90" w:rsidRPr="000A15D1">
        <w:rPr>
          <w:sz w:val="22"/>
          <w:szCs w:val="22"/>
        </w:rPr>
        <w:t xml:space="preserve"> </w:t>
      </w:r>
      <w:r w:rsidR="009D7FAE" w:rsidRPr="000A15D1">
        <w:rPr>
          <w:sz w:val="22"/>
          <w:szCs w:val="22"/>
        </w:rPr>
        <w:t>630</w:t>
      </w:r>
      <w:r w:rsidR="00D74D90" w:rsidRPr="000A15D1">
        <w:rPr>
          <w:sz w:val="22"/>
          <w:szCs w:val="22"/>
        </w:rPr>
        <w:t>, Fort Meade in Polk County, Florida</w:t>
      </w:r>
      <w:r w:rsidRPr="000A15D1">
        <w:rPr>
          <w:sz w:val="22"/>
          <w:szCs w:val="22"/>
        </w:rPr>
        <w:t xml:space="preserve">.  </w:t>
      </w:r>
    </w:p>
    <w:p w:rsidR="00D0587B" w:rsidRPr="000A15D1" w:rsidRDefault="00D0587B" w:rsidP="00D0587B">
      <w:pPr>
        <w:spacing w:after="120"/>
        <w:rPr>
          <w:sz w:val="22"/>
          <w:szCs w:val="22"/>
        </w:rPr>
      </w:pPr>
      <w:r w:rsidRPr="000A15D1">
        <w:rPr>
          <w:b/>
          <w:sz w:val="22"/>
          <w:szCs w:val="22"/>
        </w:rPr>
        <w:t>Project</w:t>
      </w:r>
      <w:r w:rsidRPr="000A15D1">
        <w:rPr>
          <w:sz w:val="22"/>
          <w:szCs w:val="22"/>
        </w:rPr>
        <w:t xml:space="preserve">:  </w:t>
      </w:r>
      <w:r w:rsidR="00B646A2" w:rsidRPr="000A15D1">
        <w:rPr>
          <w:sz w:val="22"/>
          <w:szCs w:val="22"/>
        </w:rPr>
        <w:t xml:space="preserve">The </w:t>
      </w:r>
      <w:r w:rsidR="00641B99" w:rsidRPr="000A15D1">
        <w:rPr>
          <w:sz w:val="22"/>
          <w:szCs w:val="22"/>
        </w:rPr>
        <w:t xml:space="preserve">project </w:t>
      </w:r>
      <w:r w:rsidR="00F200E1" w:rsidRPr="000A15D1">
        <w:rPr>
          <w:sz w:val="22"/>
          <w:szCs w:val="22"/>
        </w:rPr>
        <w:t xml:space="preserve">to construct the US EcoGen facility </w:t>
      </w:r>
      <w:r w:rsidR="00641B99" w:rsidRPr="000A15D1">
        <w:rPr>
          <w:sz w:val="22"/>
          <w:szCs w:val="22"/>
        </w:rPr>
        <w:t xml:space="preserve">was approved under </w:t>
      </w:r>
      <w:r w:rsidR="00284F7E" w:rsidRPr="000A15D1">
        <w:rPr>
          <w:sz w:val="22"/>
          <w:szCs w:val="22"/>
        </w:rPr>
        <w:t xml:space="preserve">an air construction </w:t>
      </w:r>
      <w:r w:rsidR="00641B99" w:rsidRPr="000A15D1">
        <w:rPr>
          <w:sz w:val="22"/>
          <w:szCs w:val="22"/>
        </w:rPr>
        <w:t xml:space="preserve">permit, no. </w:t>
      </w:r>
      <w:r w:rsidR="0005213B" w:rsidRPr="000A15D1">
        <w:rPr>
          <w:sz w:val="22"/>
          <w:szCs w:val="22"/>
        </w:rPr>
        <w:t>1050444-001-AC</w:t>
      </w:r>
      <w:r w:rsidR="00C95021" w:rsidRPr="000A15D1">
        <w:rPr>
          <w:sz w:val="22"/>
          <w:szCs w:val="22"/>
        </w:rPr>
        <w:t>,</w:t>
      </w:r>
      <w:r w:rsidR="00641B99" w:rsidRPr="000A15D1">
        <w:rPr>
          <w:sz w:val="22"/>
          <w:szCs w:val="22"/>
        </w:rPr>
        <w:t xml:space="preserve"> issued by the Department in </w:t>
      </w:r>
      <w:r w:rsidR="000A15D1">
        <w:rPr>
          <w:sz w:val="22"/>
          <w:szCs w:val="22"/>
        </w:rPr>
        <w:t xml:space="preserve">July </w:t>
      </w:r>
      <w:r w:rsidR="00641B99" w:rsidRPr="000A15D1">
        <w:rPr>
          <w:sz w:val="22"/>
          <w:szCs w:val="22"/>
        </w:rPr>
        <w:t xml:space="preserve">2012.  </w:t>
      </w:r>
      <w:r w:rsidR="00112672" w:rsidRPr="000A15D1">
        <w:rPr>
          <w:bCs/>
          <w:sz w:val="22"/>
          <w:szCs w:val="22"/>
        </w:rPr>
        <w:t>US EcoGen</w:t>
      </w:r>
      <w:r w:rsidR="00112672" w:rsidRPr="000A15D1">
        <w:rPr>
          <w:sz w:val="22"/>
          <w:szCs w:val="22"/>
        </w:rPr>
        <w:t xml:space="preserve"> </w:t>
      </w:r>
      <w:r w:rsidR="00B646A2" w:rsidRPr="000A15D1">
        <w:rPr>
          <w:sz w:val="22"/>
          <w:szCs w:val="22"/>
        </w:rPr>
        <w:t xml:space="preserve">has </w:t>
      </w:r>
      <w:r w:rsidR="00284F7E" w:rsidRPr="000A15D1">
        <w:rPr>
          <w:sz w:val="22"/>
          <w:szCs w:val="22"/>
        </w:rPr>
        <w:t xml:space="preserve">since </w:t>
      </w:r>
      <w:r w:rsidR="00B646A2" w:rsidRPr="000A15D1">
        <w:rPr>
          <w:sz w:val="22"/>
          <w:szCs w:val="22"/>
        </w:rPr>
        <w:t xml:space="preserve">updated the details of the </w:t>
      </w:r>
      <w:r w:rsidR="00284F7E" w:rsidRPr="000A15D1">
        <w:rPr>
          <w:sz w:val="22"/>
          <w:szCs w:val="22"/>
        </w:rPr>
        <w:t xml:space="preserve">project’s </w:t>
      </w:r>
      <w:r w:rsidR="00B646A2" w:rsidRPr="000A15D1">
        <w:rPr>
          <w:sz w:val="22"/>
          <w:szCs w:val="22"/>
        </w:rPr>
        <w:t>power island</w:t>
      </w:r>
      <w:r w:rsidR="00BA2A4D" w:rsidRPr="000A15D1">
        <w:rPr>
          <w:sz w:val="22"/>
          <w:szCs w:val="22"/>
        </w:rPr>
        <w:t xml:space="preserve"> and</w:t>
      </w:r>
      <w:r w:rsidR="00641B99" w:rsidRPr="000A15D1">
        <w:rPr>
          <w:sz w:val="22"/>
          <w:szCs w:val="22"/>
        </w:rPr>
        <w:t xml:space="preserve"> t</w:t>
      </w:r>
      <w:r w:rsidR="00B646A2" w:rsidRPr="000A15D1">
        <w:rPr>
          <w:sz w:val="22"/>
          <w:szCs w:val="22"/>
        </w:rPr>
        <w:t xml:space="preserve">he boiler will have a </w:t>
      </w:r>
      <w:r w:rsidR="00013CAF" w:rsidRPr="000A15D1">
        <w:rPr>
          <w:sz w:val="22"/>
          <w:szCs w:val="22"/>
        </w:rPr>
        <w:t xml:space="preserve">heat input rating </w:t>
      </w:r>
      <w:r w:rsidR="00B646A2" w:rsidRPr="000A15D1">
        <w:rPr>
          <w:sz w:val="22"/>
          <w:szCs w:val="22"/>
        </w:rPr>
        <w:t xml:space="preserve">of </w:t>
      </w:r>
      <w:r w:rsidR="00013CAF" w:rsidRPr="000A15D1">
        <w:rPr>
          <w:sz w:val="22"/>
          <w:szCs w:val="22"/>
        </w:rPr>
        <w:t>86</w:t>
      </w:r>
      <w:r w:rsidR="009D7FAE" w:rsidRPr="000A15D1">
        <w:rPr>
          <w:sz w:val="22"/>
          <w:szCs w:val="22"/>
        </w:rPr>
        <w:t>0</w:t>
      </w:r>
      <w:r w:rsidR="00013CAF" w:rsidRPr="000A15D1">
        <w:rPr>
          <w:sz w:val="22"/>
          <w:szCs w:val="22"/>
        </w:rPr>
        <w:t xml:space="preserve"> million Btu per hour (MMBtu/hour)</w:t>
      </w:r>
      <w:r w:rsidR="00BA2A4D" w:rsidRPr="000A15D1">
        <w:rPr>
          <w:sz w:val="22"/>
          <w:szCs w:val="22"/>
        </w:rPr>
        <w:t>.</w:t>
      </w:r>
      <w:r w:rsidR="00013CAF" w:rsidRPr="000A15D1">
        <w:rPr>
          <w:sz w:val="22"/>
          <w:szCs w:val="22"/>
        </w:rPr>
        <w:t xml:space="preserve"> </w:t>
      </w:r>
      <w:r w:rsidR="0005213B" w:rsidRPr="000A15D1">
        <w:rPr>
          <w:sz w:val="22"/>
          <w:szCs w:val="22"/>
        </w:rPr>
        <w:t xml:space="preserve"> </w:t>
      </w:r>
      <w:r w:rsidR="00F200E1" w:rsidRPr="000A15D1">
        <w:rPr>
          <w:sz w:val="22"/>
          <w:szCs w:val="22"/>
        </w:rPr>
        <w:t xml:space="preserve">The </w:t>
      </w:r>
      <w:r w:rsidR="000A15D1">
        <w:rPr>
          <w:sz w:val="22"/>
          <w:szCs w:val="22"/>
        </w:rPr>
        <w:t>d</w:t>
      </w:r>
      <w:r w:rsidR="00F200E1" w:rsidRPr="000A15D1">
        <w:rPr>
          <w:sz w:val="22"/>
          <w:szCs w:val="22"/>
        </w:rPr>
        <w:t xml:space="preserve">raft </w:t>
      </w:r>
      <w:r w:rsidR="000A15D1">
        <w:rPr>
          <w:sz w:val="22"/>
          <w:szCs w:val="22"/>
        </w:rPr>
        <w:t>p</w:t>
      </w:r>
      <w:r w:rsidR="00F200E1" w:rsidRPr="000A15D1">
        <w:rPr>
          <w:sz w:val="22"/>
          <w:szCs w:val="22"/>
        </w:rPr>
        <w:t xml:space="preserve">ermit </w:t>
      </w:r>
      <w:r w:rsidR="000A15D1">
        <w:rPr>
          <w:sz w:val="22"/>
          <w:szCs w:val="22"/>
        </w:rPr>
        <w:t xml:space="preserve">modification </w:t>
      </w:r>
      <w:r w:rsidR="00F200E1" w:rsidRPr="000A15D1">
        <w:rPr>
          <w:sz w:val="22"/>
          <w:szCs w:val="22"/>
        </w:rPr>
        <w:t xml:space="preserve">reflects this updated technical information.  </w:t>
      </w:r>
    </w:p>
    <w:p w:rsidR="00D0587B" w:rsidRPr="000A15D1" w:rsidRDefault="00013CAF" w:rsidP="00640C6E">
      <w:pPr>
        <w:autoSpaceDE w:val="0"/>
        <w:autoSpaceDN w:val="0"/>
        <w:adjustRightInd w:val="0"/>
        <w:spacing w:after="120"/>
        <w:rPr>
          <w:sz w:val="22"/>
          <w:szCs w:val="22"/>
        </w:rPr>
      </w:pPr>
      <w:r w:rsidRPr="000A15D1">
        <w:rPr>
          <w:sz w:val="22"/>
          <w:szCs w:val="22"/>
        </w:rPr>
        <w:t xml:space="preserve">No changes to the previously authorized emission limits </w:t>
      </w:r>
      <w:r w:rsidR="00F200E1" w:rsidRPr="000A15D1">
        <w:rPr>
          <w:sz w:val="22"/>
          <w:szCs w:val="22"/>
        </w:rPr>
        <w:t xml:space="preserve">under </w:t>
      </w:r>
      <w:r w:rsidR="00932754">
        <w:rPr>
          <w:sz w:val="22"/>
          <w:szCs w:val="22"/>
        </w:rPr>
        <w:t>P</w:t>
      </w:r>
      <w:r w:rsidR="00F200E1" w:rsidRPr="000A15D1">
        <w:rPr>
          <w:sz w:val="22"/>
          <w:szCs w:val="22"/>
        </w:rPr>
        <w:t xml:space="preserve">ermit </w:t>
      </w:r>
      <w:r w:rsidR="00932754">
        <w:rPr>
          <w:sz w:val="22"/>
          <w:szCs w:val="22"/>
        </w:rPr>
        <w:t>N</w:t>
      </w:r>
      <w:r w:rsidR="00F200E1" w:rsidRPr="000A15D1">
        <w:rPr>
          <w:sz w:val="22"/>
          <w:szCs w:val="22"/>
        </w:rPr>
        <w:t xml:space="preserve">o. 1050444-001-AC </w:t>
      </w:r>
      <w:r w:rsidRPr="000A15D1">
        <w:rPr>
          <w:sz w:val="22"/>
          <w:szCs w:val="22"/>
        </w:rPr>
        <w:t xml:space="preserve">will occur as a result </w:t>
      </w:r>
      <w:r w:rsidR="00932754">
        <w:rPr>
          <w:sz w:val="22"/>
          <w:szCs w:val="22"/>
        </w:rPr>
        <w:t xml:space="preserve">of the boiler heat input rate </w:t>
      </w:r>
      <w:r w:rsidR="005D10D1">
        <w:rPr>
          <w:sz w:val="22"/>
          <w:szCs w:val="22"/>
        </w:rPr>
        <w:t>change</w:t>
      </w:r>
      <w:bookmarkStart w:id="0" w:name="_GoBack"/>
      <w:bookmarkEnd w:id="0"/>
      <w:r w:rsidR="00640C6E" w:rsidRPr="000A15D1">
        <w:rPr>
          <w:sz w:val="22"/>
          <w:szCs w:val="22"/>
        </w:rPr>
        <w:t xml:space="preserve">.  </w:t>
      </w:r>
      <w:r w:rsidRPr="000A15D1">
        <w:rPr>
          <w:sz w:val="22"/>
          <w:szCs w:val="22"/>
        </w:rPr>
        <w:t>A review pursuant to the rules for Prevention of Significant Deterioration (PSD), pursuant to Rule 62-212.400, F.A.C., and a determination of best available control technology (BACT) were not required</w:t>
      </w:r>
      <w:r w:rsidR="00640C6E" w:rsidRPr="000A15D1">
        <w:rPr>
          <w:sz w:val="22"/>
          <w:szCs w:val="22"/>
        </w:rPr>
        <w:t xml:space="preserve"> for the project</w:t>
      </w:r>
      <w:r w:rsidR="00595F75" w:rsidRPr="000A15D1">
        <w:rPr>
          <w:sz w:val="22"/>
          <w:szCs w:val="22"/>
        </w:rPr>
        <w:t xml:space="preserve"> approval</w:t>
      </w:r>
      <w:r w:rsidR="00640C6E" w:rsidRPr="000A15D1">
        <w:rPr>
          <w:sz w:val="22"/>
          <w:szCs w:val="22"/>
        </w:rPr>
        <w:t xml:space="preserve"> or the </w:t>
      </w:r>
      <w:r w:rsidR="000A15D1">
        <w:rPr>
          <w:sz w:val="22"/>
          <w:szCs w:val="22"/>
        </w:rPr>
        <w:t>current permit modification</w:t>
      </w:r>
      <w:r w:rsidR="00640C6E" w:rsidRPr="000A15D1">
        <w:rPr>
          <w:sz w:val="22"/>
          <w:szCs w:val="22"/>
        </w:rPr>
        <w:t>.</w:t>
      </w:r>
      <w:r w:rsidRPr="000A15D1">
        <w:rPr>
          <w:sz w:val="22"/>
          <w:szCs w:val="22"/>
        </w:rPr>
        <w:t xml:space="preserve">  </w:t>
      </w:r>
    </w:p>
    <w:p w:rsidR="00D0587B" w:rsidRPr="000A15D1" w:rsidRDefault="00D0587B" w:rsidP="00D0587B">
      <w:pPr>
        <w:spacing w:before="120" w:after="120"/>
        <w:rPr>
          <w:sz w:val="22"/>
          <w:szCs w:val="22"/>
        </w:rPr>
      </w:pPr>
      <w:r w:rsidRPr="000A15D1">
        <w:rPr>
          <w:b/>
          <w:sz w:val="22"/>
          <w:szCs w:val="22"/>
        </w:rPr>
        <w:t>Permitting Authority</w:t>
      </w:r>
      <w:r w:rsidRPr="000A15D1">
        <w:rPr>
          <w:sz w:val="22"/>
          <w:szCs w:val="22"/>
        </w:rPr>
        <w:t xml:space="preserve">:  Applications for air construction permits are subject to review in accordance with the provisions of Chapter 403, Florida Statutes (F.S.) and Chapters 62-4, 62-210 and 62-212 of the Florida Administrative Code (F.A.C.). </w:t>
      </w:r>
      <w:r w:rsidR="003D0B38" w:rsidRPr="000A15D1">
        <w:rPr>
          <w:sz w:val="22"/>
          <w:szCs w:val="22"/>
        </w:rPr>
        <w:t xml:space="preserve"> </w:t>
      </w:r>
      <w:r w:rsidR="0005213B" w:rsidRPr="000A15D1">
        <w:rPr>
          <w:sz w:val="22"/>
          <w:szCs w:val="22"/>
        </w:rPr>
        <w:t>The Division of Air Resource Management’s (DARM) Office of Permitting and Compliance is the Permitting Authority responsible for making a permit determination for this project.  The Permitting Authority’s physical address is:  2600 Blair Stone Road, Tallahassee, Florida.  The Permitting Authority’s mailing address is:  2600 Blair Stone Road, MS #5505, Tallahassee, Florida 32399-2400.  The Permitting Authority’s telephone number is 850/717-9000.</w:t>
      </w:r>
    </w:p>
    <w:p w:rsidR="00D0587B" w:rsidRPr="000A15D1" w:rsidRDefault="00D0587B" w:rsidP="00D0587B">
      <w:pPr>
        <w:spacing w:after="120"/>
        <w:outlineLvl w:val="0"/>
        <w:rPr>
          <w:sz w:val="22"/>
          <w:szCs w:val="22"/>
        </w:rPr>
      </w:pPr>
      <w:r w:rsidRPr="000A15D1">
        <w:rPr>
          <w:b/>
          <w:sz w:val="22"/>
          <w:szCs w:val="22"/>
        </w:rPr>
        <w:t>Project File</w:t>
      </w:r>
      <w:r w:rsidRPr="000A15D1">
        <w:rPr>
          <w:sz w:val="22"/>
          <w:szCs w:val="22"/>
        </w:rPr>
        <w:t xml:space="preserve">:  A complete project file is available for public inspection during the normal business hours of 8:00 a.m. to 5:00 p.m., Monday through Friday (except legal holidays), at address indicated above 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and phone number listed above.  In addition, electronic copies of these documents are available at the </w:t>
      </w:r>
      <w:r w:rsidR="003D0B38" w:rsidRPr="000A15D1">
        <w:rPr>
          <w:sz w:val="22"/>
          <w:szCs w:val="22"/>
        </w:rPr>
        <w:t xml:space="preserve">following link: </w:t>
      </w:r>
      <w:hyperlink r:id="rId7" w:history="1">
        <w:r w:rsidR="003D0B38" w:rsidRPr="000A15D1">
          <w:rPr>
            <w:rStyle w:val="Hyperlink"/>
            <w:sz w:val="22"/>
            <w:szCs w:val="22"/>
          </w:rPr>
          <w:t>www.dep.state.fl.us/air/emission/bioenergy/polk_us_ecogen.htm</w:t>
        </w:r>
      </w:hyperlink>
      <w:r w:rsidR="003D0B38" w:rsidRPr="000A15D1">
        <w:rPr>
          <w:sz w:val="22"/>
          <w:szCs w:val="22"/>
        </w:rPr>
        <w:t xml:space="preserve">.  </w:t>
      </w:r>
    </w:p>
    <w:p w:rsidR="00D0587B" w:rsidRPr="000A15D1" w:rsidRDefault="00D0587B" w:rsidP="00D0587B">
      <w:pPr>
        <w:spacing w:after="120"/>
        <w:rPr>
          <w:sz w:val="22"/>
          <w:szCs w:val="22"/>
        </w:rPr>
      </w:pPr>
      <w:r w:rsidRPr="000A15D1">
        <w:rPr>
          <w:b/>
          <w:sz w:val="22"/>
          <w:szCs w:val="22"/>
        </w:rPr>
        <w:t>Notice of Intent to Issue Air Permit</w:t>
      </w:r>
      <w:r w:rsidRPr="000A15D1">
        <w:rPr>
          <w:sz w:val="22"/>
          <w:szCs w:val="22"/>
        </w:rPr>
        <w:t xml:space="preserve">:  The Permitting Authority gives notice of its intent to issue an air permit </w:t>
      </w:r>
      <w:r w:rsidR="00C95021" w:rsidRPr="000A15D1">
        <w:rPr>
          <w:sz w:val="22"/>
          <w:szCs w:val="22"/>
        </w:rPr>
        <w:t xml:space="preserve">revision </w:t>
      </w:r>
      <w:r w:rsidRPr="000A15D1">
        <w:rPr>
          <w:sz w:val="22"/>
          <w:szCs w:val="22"/>
        </w:rPr>
        <w:t xml:space="preserve">to the applicant for the </w:t>
      </w:r>
      <w:r w:rsidR="00C95021" w:rsidRPr="000A15D1">
        <w:rPr>
          <w:sz w:val="22"/>
          <w:szCs w:val="22"/>
        </w:rPr>
        <w:t xml:space="preserve">updated </w:t>
      </w:r>
      <w:r w:rsidRPr="000A15D1">
        <w:rPr>
          <w:sz w:val="22"/>
          <w:szCs w:val="22"/>
        </w:rPr>
        <w:t xml:space="preserve">project </w:t>
      </w:r>
      <w:r w:rsidR="00C95021" w:rsidRPr="000A15D1">
        <w:rPr>
          <w:sz w:val="22"/>
          <w:szCs w:val="22"/>
        </w:rPr>
        <w:t xml:space="preserve">information </w:t>
      </w:r>
      <w:r w:rsidRPr="000A15D1">
        <w:rPr>
          <w:sz w:val="22"/>
          <w:szCs w:val="22"/>
        </w:rPr>
        <w:t xml:space="preserve">described above.  The applicant has provided reasonable assurance that </w:t>
      </w:r>
      <w:r w:rsidR="000C0D43" w:rsidRPr="000A15D1">
        <w:rPr>
          <w:sz w:val="22"/>
          <w:szCs w:val="22"/>
        </w:rPr>
        <w:t xml:space="preserve">the proposed revision </w:t>
      </w:r>
      <w:r w:rsidRPr="000A15D1">
        <w:rPr>
          <w:sz w:val="22"/>
          <w:szCs w:val="22"/>
        </w:rPr>
        <w:t>will not</w:t>
      </w:r>
      <w:r w:rsidR="000C0D43" w:rsidRPr="000A15D1">
        <w:rPr>
          <w:sz w:val="22"/>
          <w:szCs w:val="22"/>
        </w:rPr>
        <w:t xml:space="preserve"> affect previous</w:t>
      </w:r>
      <w:r w:rsidR="00C95021" w:rsidRPr="000A15D1">
        <w:rPr>
          <w:sz w:val="22"/>
          <w:szCs w:val="22"/>
        </w:rPr>
        <w:t>ly</w:t>
      </w:r>
      <w:r w:rsidR="000C0D43" w:rsidRPr="000A15D1">
        <w:rPr>
          <w:sz w:val="22"/>
          <w:szCs w:val="22"/>
        </w:rPr>
        <w:t xml:space="preserve"> permit</w:t>
      </w:r>
      <w:r w:rsidR="00C95021" w:rsidRPr="000A15D1">
        <w:rPr>
          <w:sz w:val="22"/>
          <w:szCs w:val="22"/>
        </w:rPr>
        <w:t>ted emission</w:t>
      </w:r>
      <w:r w:rsidR="000C0D43" w:rsidRPr="000A15D1">
        <w:rPr>
          <w:sz w:val="22"/>
          <w:szCs w:val="22"/>
        </w:rPr>
        <w:t xml:space="preserve"> limits</w:t>
      </w:r>
      <w:r w:rsidRPr="000A15D1">
        <w:rPr>
          <w:sz w:val="22"/>
          <w:szCs w:val="22"/>
        </w:rPr>
        <w:t xml:space="preserve"> and that the </w:t>
      </w:r>
      <w:r w:rsidR="00F200E1" w:rsidRPr="000A15D1">
        <w:rPr>
          <w:sz w:val="22"/>
          <w:szCs w:val="22"/>
        </w:rPr>
        <w:t>proposed revision</w:t>
      </w:r>
      <w:r w:rsidRPr="000A15D1">
        <w:rPr>
          <w:sz w:val="22"/>
          <w:szCs w:val="22"/>
        </w:rPr>
        <w:t xml:space="preserve"> will comply with all applicable provisions of Chapters 62-4, 62-204, 62-210, 62-212, 62-296 and 62-297, F.A.C.  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D0587B" w:rsidRPr="000A15D1" w:rsidRDefault="00D0587B" w:rsidP="00D0587B">
      <w:pPr>
        <w:widowControl w:val="0"/>
        <w:spacing w:after="120"/>
        <w:rPr>
          <w:sz w:val="22"/>
          <w:szCs w:val="22"/>
        </w:rPr>
      </w:pPr>
      <w:r w:rsidRPr="000A15D1">
        <w:rPr>
          <w:b/>
          <w:sz w:val="22"/>
          <w:szCs w:val="22"/>
        </w:rPr>
        <w:t>Comments</w:t>
      </w:r>
      <w:r w:rsidRPr="000A15D1">
        <w:rPr>
          <w:sz w:val="22"/>
          <w:szCs w:val="22"/>
        </w:rPr>
        <w:t xml:space="preserve">:  The Permitting Authority will accept written comments concerning the proposed Draft Permit for a period of </w:t>
      </w:r>
      <w:r w:rsidR="00741119" w:rsidRPr="000A15D1">
        <w:rPr>
          <w:sz w:val="22"/>
          <w:szCs w:val="22"/>
        </w:rPr>
        <w:t>14</w:t>
      </w:r>
      <w:r w:rsidRPr="000A15D1">
        <w:rPr>
          <w:sz w:val="22"/>
          <w:szCs w:val="22"/>
        </w:rPr>
        <w:t xml:space="preserve"> days from the date of publication of the Public Notice.  Written comments must be </w:t>
      </w:r>
      <w:r w:rsidRPr="000A15D1">
        <w:rPr>
          <w:rStyle w:val="Emphasis"/>
          <w:bCs/>
          <w:i w:val="0"/>
          <w:sz w:val="22"/>
          <w:szCs w:val="22"/>
        </w:rPr>
        <w:t>received</w:t>
      </w:r>
      <w:r w:rsidRPr="000A15D1">
        <w:rPr>
          <w:sz w:val="22"/>
          <w:szCs w:val="22"/>
        </w:rPr>
        <w:t xml:space="preserve"> by the Permitting Authority by close of business (5:00 p.m.) on or before the end of this </w:t>
      </w:r>
      <w:r w:rsidR="00741119" w:rsidRPr="000A15D1">
        <w:rPr>
          <w:sz w:val="22"/>
          <w:szCs w:val="22"/>
        </w:rPr>
        <w:t xml:space="preserve">14 </w:t>
      </w:r>
      <w:r w:rsidRPr="000A15D1">
        <w:rPr>
          <w:sz w:val="22"/>
          <w:szCs w:val="22"/>
        </w:rPr>
        <w:t>day period.  If timely received comments result in a significant change to the Draft Permit, the Permitting Authority shall revise the Draft Permit and require, if applicable, another Public Notice.  All comments filed will be made available for public inspection.</w:t>
      </w:r>
    </w:p>
    <w:p w:rsidR="00DD7D03" w:rsidRPr="000A15D1" w:rsidRDefault="00DD7D03" w:rsidP="00DD7D03">
      <w:pPr>
        <w:widowControl w:val="0"/>
        <w:tabs>
          <w:tab w:val="left" w:pos="0"/>
        </w:tabs>
        <w:spacing w:after="120"/>
        <w:rPr>
          <w:sz w:val="22"/>
          <w:szCs w:val="22"/>
        </w:rPr>
      </w:pPr>
      <w:r w:rsidRPr="000A15D1">
        <w:rPr>
          <w:b/>
          <w:sz w:val="22"/>
          <w:szCs w:val="22"/>
        </w:rPr>
        <w:t>Petitions</w:t>
      </w:r>
      <w:r w:rsidRPr="000A15D1">
        <w:rPr>
          <w:sz w:val="22"/>
          <w:szCs w:val="22"/>
        </w:rPr>
        <w:t xml:space="preserve">:  A person whose substantial interests are affected by the proposed permitting decision may petition for an administrative hearing in accordance with Sections 120.569 and 120.57, F.S.  Petitions filed by any </w:t>
      </w:r>
      <w:r w:rsidRPr="000A15D1">
        <w:rPr>
          <w:sz w:val="22"/>
          <w:szCs w:val="22"/>
        </w:rPr>
        <w:lastRenderedPageBreak/>
        <w:t xml:space="preserve">persons other than those entitled to written notice under Section 120.60(3), F.S., must be filed within 14 days of publication of the Public Notice or receipt of a written notice,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8" w:history="1">
        <w:r w:rsidRPr="000A15D1">
          <w:rPr>
            <w:color w:val="0000FF"/>
            <w:sz w:val="22"/>
            <w:szCs w:val="22"/>
            <w:u w:val="single"/>
          </w:rPr>
          <w:t>Agency.Clerk@dep.state.fl.us</w:t>
        </w:r>
      </w:hyperlink>
      <w:r w:rsidRPr="000A15D1">
        <w:rPr>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DD7D03" w:rsidRPr="000A15D1" w:rsidRDefault="00DD7D03" w:rsidP="00DD7D03">
      <w:pPr>
        <w:widowControl w:val="0"/>
        <w:tabs>
          <w:tab w:val="left" w:pos="0"/>
        </w:tabs>
        <w:spacing w:after="120"/>
        <w:rPr>
          <w:sz w:val="22"/>
          <w:szCs w:val="22"/>
        </w:rPr>
      </w:pPr>
      <w:r w:rsidRPr="000A15D1">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w:t>
      </w:r>
      <w:r w:rsidRPr="000A15D1">
        <w:rPr>
          <w:sz w:val="22"/>
          <w:szCs w:val="22"/>
        </w:rPr>
        <w:br/>
        <w:t>Rule 28-106.301, F.A.C.</w:t>
      </w:r>
    </w:p>
    <w:p w:rsidR="00DD7D03" w:rsidRPr="000A15D1" w:rsidRDefault="00DD7D03" w:rsidP="00DD7D03">
      <w:pPr>
        <w:widowControl w:val="0"/>
        <w:tabs>
          <w:tab w:val="left" w:pos="0"/>
        </w:tabs>
        <w:spacing w:after="120"/>
        <w:rPr>
          <w:sz w:val="22"/>
          <w:szCs w:val="22"/>
        </w:rPr>
      </w:pPr>
      <w:r w:rsidRPr="000A15D1">
        <w:rPr>
          <w:sz w:val="22"/>
          <w:szCs w:val="22"/>
        </w:rPr>
        <w:t>Because the administrative hearing process is designed to formulate final agency action, the filing of a petition means that the Permitting Authority’s final action may be different from the position taken by it in this Public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D0587B" w:rsidRPr="000A15D1" w:rsidRDefault="00DD7D03" w:rsidP="00DD7D03">
      <w:pPr>
        <w:tabs>
          <w:tab w:val="left" w:pos="0"/>
        </w:tabs>
        <w:spacing w:after="120"/>
        <w:rPr>
          <w:sz w:val="22"/>
          <w:szCs w:val="22"/>
        </w:rPr>
      </w:pPr>
      <w:r w:rsidRPr="000A15D1">
        <w:rPr>
          <w:b/>
          <w:sz w:val="22"/>
          <w:szCs w:val="22"/>
        </w:rPr>
        <w:t>Mediation</w:t>
      </w:r>
      <w:r w:rsidRPr="000A15D1">
        <w:rPr>
          <w:sz w:val="22"/>
          <w:szCs w:val="22"/>
        </w:rPr>
        <w:t>:  Mediation is not available in this proceeding.</w:t>
      </w:r>
    </w:p>
    <w:sectPr w:rsidR="00D0587B" w:rsidRPr="000A15D1" w:rsidSect="00E23D9D">
      <w:footerReference w:type="default" r:id="rId9"/>
      <w:type w:val="oddPage"/>
      <w:pgSz w:w="12240" w:h="15840" w:code="1"/>
      <w:pgMar w:top="903" w:right="1152" w:bottom="1008" w:left="1296" w:header="720" w:footer="374" w:gutter="0"/>
      <w:paperSrc w:first="15" w:other="15"/>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3F56" w:rsidRDefault="00063F56">
      <w:r>
        <w:separator/>
      </w:r>
    </w:p>
  </w:endnote>
  <w:endnote w:type="continuationSeparator" w:id="0">
    <w:p w:rsidR="00063F56" w:rsidRDefault="00063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797" w:rsidRPr="00E257C9" w:rsidRDefault="006E6797" w:rsidP="0023647D">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3F56" w:rsidRDefault="00063F56">
      <w:r>
        <w:separator/>
      </w:r>
    </w:p>
  </w:footnote>
  <w:footnote w:type="continuationSeparator" w:id="0">
    <w:p w:rsidR="00063F56" w:rsidRDefault="00063F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94689E"/>
    <w:multiLevelType w:val="hybridMultilevel"/>
    <w:tmpl w:val="A8042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35A4A4E"/>
    <w:multiLevelType w:val="hybridMultilevel"/>
    <w:tmpl w:val="95682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667"/>
    <w:rsid w:val="00010BCE"/>
    <w:rsid w:val="00013CAF"/>
    <w:rsid w:val="00020AAE"/>
    <w:rsid w:val="000247F8"/>
    <w:rsid w:val="000359FD"/>
    <w:rsid w:val="0003770C"/>
    <w:rsid w:val="00050F20"/>
    <w:rsid w:val="0005213B"/>
    <w:rsid w:val="000527AE"/>
    <w:rsid w:val="00057BC8"/>
    <w:rsid w:val="00060359"/>
    <w:rsid w:val="00063F56"/>
    <w:rsid w:val="00072DF9"/>
    <w:rsid w:val="00077ACA"/>
    <w:rsid w:val="000923B0"/>
    <w:rsid w:val="000A15D1"/>
    <w:rsid w:val="000A53BB"/>
    <w:rsid w:val="000A67CC"/>
    <w:rsid w:val="000C0D43"/>
    <w:rsid w:val="000C1A70"/>
    <w:rsid w:val="000D7E22"/>
    <w:rsid w:val="000E7884"/>
    <w:rsid w:val="00111C1D"/>
    <w:rsid w:val="00112672"/>
    <w:rsid w:val="00122F49"/>
    <w:rsid w:val="00132485"/>
    <w:rsid w:val="00142C8C"/>
    <w:rsid w:val="00163758"/>
    <w:rsid w:val="001A01D9"/>
    <w:rsid w:val="001B26BC"/>
    <w:rsid w:val="001B2B66"/>
    <w:rsid w:val="001C0357"/>
    <w:rsid w:val="001D3C4E"/>
    <w:rsid w:val="001F6B3D"/>
    <w:rsid w:val="001F756A"/>
    <w:rsid w:val="002000E3"/>
    <w:rsid w:val="00212DC1"/>
    <w:rsid w:val="00214681"/>
    <w:rsid w:val="00231A6C"/>
    <w:rsid w:val="0023647D"/>
    <w:rsid w:val="00260548"/>
    <w:rsid w:val="00284F7E"/>
    <w:rsid w:val="002922AF"/>
    <w:rsid w:val="00297788"/>
    <w:rsid w:val="002A2E04"/>
    <w:rsid w:val="002A5A69"/>
    <w:rsid w:val="002C5BCD"/>
    <w:rsid w:val="002D15B0"/>
    <w:rsid w:val="002D7E46"/>
    <w:rsid w:val="00301F11"/>
    <w:rsid w:val="00303665"/>
    <w:rsid w:val="003101CA"/>
    <w:rsid w:val="00317551"/>
    <w:rsid w:val="003265BA"/>
    <w:rsid w:val="00330008"/>
    <w:rsid w:val="003403A4"/>
    <w:rsid w:val="003472A3"/>
    <w:rsid w:val="00374A0C"/>
    <w:rsid w:val="00384B5A"/>
    <w:rsid w:val="003877A8"/>
    <w:rsid w:val="00397CCE"/>
    <w:rsid w:val="003A12E7"/>
    <w:rsid w:val="003A6499"/>
    <w:rsid w:val="003A7530"/>
    <w:rsid w:val="003D0B38"/>
    <w:rsid w:val="003E159E"/>
    <w:rsid w:val="003E61AA"/>
    <w:rsid w:val="00400B70"/>
    <w:rsid w:val="00401548"/>
    <w:rsid w:val="00401884"/>
    <w:rsid w:val="004032D8"/>
    <w:rsid w:val="004259D6"/>
    <w:rsid w:val="00440F65"/>
    <w:rsid w:val="004427E0"/>
    <w:rsid w:val="00474496"/>
    <w:rsid w:val="00480916"/>
    <w:rsid w:val="0048747D"/>
    <w:rsid w:val="00494232"/>
    <w:rsid w:val="004A1C5B"/>
    <w:rsid w:val="004D3197"/>
    <w:rsid w:val="004D49EF"/>
    <w:rsid w:val="004E0907"/>
    <w:rsid w:val="004E7141"/>
    <w:rsid w:val="004F335F"/>
    <w:rsid w:val="004F4597"/>
    <w:rsid w:val="005311E6"/>
    <w:rsid w:val="00543A8D"/>
    <w:rsid w:val="00544F04"/>
    <w:rsid w:val="00552E9A"/>
    <w:rsid w:val="005634A7"/>
    <w:rsid w:val="00574D88"/>
    <w:rsid w:val="0058214E"/>
    <w:rsid w:val="005909AF"/>
    <w:rsid w:val="00595F75"/>
    <w:rsid w:val="005C3E9A"/>
    <w:rsid w:val="005D10D1"/>
    <w:rsid w:val="005D58C9"/>
    <w:rsid w:val="005E25F9"/>
    <w:rsid w:val="005E4A8D"/>
    <w:rsid w:val="005F1280"/>
    <w:rsid w:val="00606623"/>
    <w:rsid w:val="006125A5"/>
    <w:rsid w:val="00635CEF"/>
    <w:rsid w:val="00637822"/>
    <w:rsid w:val="00640C6E"/>
    <w:rsid w:val="00641B99"/>
    <w:rsid w:val="00655E25"/>
    <w:rsid w:val="00674763"/>
    <w:rsid w:val="0068180D"/>
    <w:rsid w:val="006820CC"/>
    <w:rsid w:val="00686231"/>
    <w:rsid w:val="00687CFA"/>
    <w:rsid w:val="006B3FE9"/>
    <w:rsid w:val="006D49F9"/>
    <w:rsid w:val="006E6797"/>
    <w:rsid w:val="006F3B2D"/>
    <w:rsid w:val="007040B1"/>
    <w:rsid w:val="007314B8"/>
    <w:rsid w:val="00733BE4"/>
    <w:rsid w:val="00741119"/>
    <w:rsid w:val="00743173"/>
    <w:rsid w:val="00743C6D"/>
    <w:rsid w:val="00753893"/>
    <w:rsid w:val="007561D9"/>
    <w:rsid w:val="00756E54"/>
    <w:rsid w:val="007730D7"/>
    <w:rsid w:val="007819A0"/>
    <w:rsid w:val="007A6D4C"/>
    <w:rsid w:val="007C59B5"/>
    <w:rsid w:val="007F61B2"/>
    <w:rsid w:val="007F672D"/>
    <w:rsid w:val="0080058E"/>
    <w:rsid w:val="00820862"/>
    <w:rsid w:val="00822FCF"/>
    <w:rsid w:val="00845EAC"/>
    <w:rsid w:val="0085054C"/>
    <w:rsid w:val="008614E8"/>
    <w:rsid w:val="00865CD9"/>
    <w:rsid w:val="008730CE"/>
    <w:rsid w:val="00885682"/>
    <w:rsid w:val="0088774D"/>
    <w:rsid w:val="008952D3"/>
    <w:rsid w:val="00897C77"/>
    <w:rsid w:val="008B0867"/>
    <w:rsid w:val="008B1CB5"/>
    <w:rsid w:val="008B3C51"/>
    <w:rsid w:val="008C7599"/>
    <w:rsid w:val="00900845"/>
    <w:rsid w:val="00910D9F"/>
    <w:rsid w:val="00911D7B"/>
    <w:rsid w:val="009209B1"/>
    <w:rsid w:val="00932754"/>
    <w:rsid w:val="0093674B"/>
    <w:rsid w:val="00951995"/>
    <w:rsid w:val="009524C0"/>
    <w:rsid w:val="009562FF"/>
    <w:rsid w:val="00962712"/>
    <w:rsid w:val="00970124"/>
    <w:rsid w:val="00970125"/>
    <w:rsid w:val="00975430"/>
    <w:rsid w:val="00991A6A"/>
    <w:rsid w:val="009A5EC0"/>
    <w:rsid w:val="009A7090"/>
    <w:rsid w:val="009B1481"/>
    <w:rsid w:val="009B363D"/>
    <w:rsid w:val="009D7FAE"/>
    <w:rsid w:val="009F05EA"/>
    <w:rsid w:val="00A01B4A"/>
    <w:rsid w:val="00A01FA0"/>
    <w:rsid w:val="00A26EB5"/>
    <w:rsid w:val="00A30A56"/>
    <w:rsid w:val="00A35A8C"/>
    <w:rsid w:val="00A369FE"/>
    <w:rsid w:val="00A41234"/>
    <w:rsid w:val="00A509E2"/>
    <w:rsid w:val="00A50E9C"/>
    <w:rsid w:val="00A57D66"/>
    <w:rsid w:val="00A62C92"/>
    <w:rsid w:val="00A65E99"/>
    <w:rsid w:val="00A701F3"/>
    <w:rsid w:val="00A733D3"/>
    <w:rsid w:val="00AA4FE3"/>
    <w:rsid w:val="00AB3F72"/>
    <w:rsid w:val="00AB797F"/>
    <w:rsid w:val="00AC2998"/>
    <w:rsid w:val="00AC4CE0"/>
    <w:rsid w:val="00AC673D"/>
    <w:rsid w:val="00AD53F1"/>
    <w:rsid w:val="00AE188D"/>
    <w:rsid w:val="00AF01B8"/>
    <w:rsid w:val="00AF1DE4"/>
    <w:rsid w:val="00B14369"/>
    <w:rsid w:val="00B154FF"/>
    <w:rsid w:val="00B213A9"/>
    <w:rsid w:val="00B308BE"/>
    <w:rsid w:val="00B52667"/>
    <w:rsid w:val="00B646A2"/>
    <w:rsid w:val="00B67073"/>
    <w:rsid w:val="00B87C3C"/>
    <w:rsid w:val="00B93CE4"/>
    <w:rsid w:val="00BA2A4D"/>
    <w:rsid w:val="00BD4A96"/>
    <w:rsid w:val="00BE1615"/>
    <w:rsid w:val="00BE279B"/>
    <w:rsid w:val="00BE2E1B"/>
    <w:rsid w:val="00BE4575"/>
    <w:rsid w:val="00BE7F5C"/>
    <w:rsid w:val="00BF24D1"/>
    <w:rsid w:val="00C0058D"/>
    <w:rsid w:val="00C06E07"/>
    <w:rsid w:val="00C26C22"/>
    <w:rsid w:val="00C30066"/>
    <w:rsid w:val="00C337B7"/>
    <w:rsid w:val="00C340D7"/>
    <w:rsid w:val="00C36D07"/>
    <w:rsid w:val="00C404DB"/>
    <w:rsid w:val="00C56A1B"/>
    <w:rsid w:val="00C7457F"/>
    <w:rsid w:val="00C90103"/>
    <w:rsid w:val="00C95021"/>
    <w:rsid w:val="00CB52DC"/>
    <w:rsid w:val="00CC2D97"/>
    <w:rsid w:val="00CC5D94"/>
    <w:rsid w:val="00CD2F94"/>
    <w:rsid w:val="00CF5E8C"/>
    <w:rsid w:val="00D02BFA"/>
    <w:rsid w:val="00D0587B"/>
    <w:rsid w:val="00D12EF9"/>
    <w:rsid w:val="00D26E29"/>
    <w:rsid w:val="00D35D7A"/>
    <w:rsid w:val="00D526B9"/>
    <w:rsid w:val="00D65E39"/>
    <w:rsid w:val="00D74D90"/>
    <w:rsid w:val="00DA3D6A"/>
    <w:rsid w:val="00DC2E2E"/>
    <w:rsid w:val="00DD7D03"/>
    <w:rsid w:val="00DE1550"/>
    <w:rsid w:val="00DE3F8A"/>
    <w:rsid w:val="00E114AB"/>
    <w:rsid w:val="00E230A9"/>
    <w:rsid w:val="00E23495"/>
    <w:rsid w:val="00E23D9D"/>
    <w:rsid w:val="00E31DAF"/>
    <w:rsid w:val="00E37B92"/>
    <w:rsid w:val="00E4176D"/>
    <w:rsid w:val="00E4668C"/>
    <w:rsid w:val="00E6748E"/>
    <w:rsid w:val="00E67E58"/>
    <w:rsid w:val="00E7294F"/>
    <w:rsid w:val="00E73467"/>
    <w:rsid w:val="00E752C8"/>
    <w:rsid w:val="00E77E3C"/>
    <w:rsid w:val="00EA448A"/>
    <w:rsid w:val="00ED503F"/>
    <w:rsid w:val="00ED5DA8"/>
    <w:rsid w:val="00EE4A0A"/>
    <w:rsid w:val="00F15093"/>
    <w:rsid w:val="00F200E1"/>
    <w:rsid w:val="00F24A5D"/>
    <w:rsid w:val="00F45B02"/>
    <w:rsid w:val="00F803C3"/>
    <w:rsid w:val="00F83BA2"/>
    <w:rsid w:val="00F8520C"/>
    <w:rsid w:val="00F90BBF"/>
    <w:rsid w:val="00F90CD3"/>
    <w:rsid w:val="00FB0AE7"/>
    <w:rsid w:val="00FC78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19EA674D-A063-430E-9B3C-8F94BB8CB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266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B52667"/>
    <w:pPr>
      <w:ind w:firstLine="720"/>
      <w:jc w:val="both"/>
    </w:pPr>
    <w:rPr>
      <w:sz w:val="22"/>
    </w:rPr>
  </w:style>
  <w:style w:type="paragraph" w:styleId="Footer">
    <w:name w:val="footer"/>
    <w:basedOn w:val="Normal"/>
    <w:rsid w:val="00B52667"/>
    <w:pPr>
      <w:tabs>
        <w:tab w:val="center" w:pos="4320"/>
        <w:tab w:val="right" w:pos="8640"/>
      </w:tabs>
    </w:pPr>
  </w:style>
  <w:style w:type="paragraph" w:styleId="Header">
    <w:name w:val="header"/>
    <w:basedOn w:val="Normal"/>
    <w:link w:val="HeaderChar"/>
    <w:rsid w:val="00B52667"/>
    <w:pPr>
      <w:tabs>
        <w:tab w:val="center" w:pos="4320"/>
        <w:tab w:val="right" w:pos="8640"/>
      </w:tabs>
    </w:pPr>
  </w:style>
  <w:style w:type="character" w:styleId="PageNumber">
    <w:name w:val="page number"/>
    <w:basedOn w:val="DefaultParagraphFont"/>
    <w:rsid w:val="00B52667"/>
  </w:style>
  <w:style w:type="character" w:styleId="Hyperlink">
    <w:name w:val="Hyperlink"/>
    <w:rsid w:val="00BE1615"/>
    <w:rPr>
      <w:color w:val="0000FF"/>
      <w:u w:val="single"/>
    </w:rPr>
  </w:style>
  <w:style w:type="character" w:styleId="FollowedHyperlink">
    <w:name w:val="FollowedHyperlink"/>
    <w:rsid w:val="00BE1615"/>
    <w:rPr>
      <w:color w:val="800080"/>
      <w:u w:val="single"/>
    </w:rPr>
  </w:style>
  <w:style w:type="character" w:styleId="Emphasis">
    <w:name w:val="Emphasis"/>
    <w:qFormat/>
    <w:rsid w:val="003403A4"/>
    <w:rPr>
      <w:i/>
      <w:iCs/>
    </w:rPr>
  </w:style>
  <w:style w:type="table" w:styleId="TableGrid">
    <w:name w:val="Table Grid"/>
    <w:basedOn w:val="TableNormal"/>
    <w:rsid w:val="00635CE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Simple2">
    <w:name w:val="Table Simple 2"/>
    <w:basedOn w:val="TableNormal"/>
    <w:rsid w:val="00655E2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99"/>
    <w:qFormat/>
    <w:rsid w:val="00317551"/>
    <w:pPr>
      <w:ind w:left="720"/>
      <w:contextualSpacing/>
    </w:pPr>
    <w:rPr>
      <w:sz w:val="24"/>
      <w:szCs w:val="24"/>
    </w:rPr>
  </w:style>
  <w:style w:type="character" w:customStyle="1" w:styleId="HeaderChar">
    <w:name w:val="Header Char"/>
    <w:basedOn w:val="DefaultParagraphFont"/>
    <w:link w:val="Header"/>
    <w:rsid w:val="00D0587B"/>
  </w:style>
  <w:style w:type="paragraph" w:styleId="BalloonText">
    <w:name w:val="Balloon Text"/>
    <w:basedOn w:val="Normal"/>
    <w:link w:val="BalloonTextChar"/>
    <w:rsid w:val="00E23D9D"/>
    <w:rPr>
      <w:rFonts w:ascii="Segoe UI" w:hAnsi="Segoe UI" w:cs="Segoe UI"/>
      <w:sz w:val="18"/>
      <w:szCs w:val="18"/>
    </w:rPr>
  </w:style>
  <w:style w:type="character" w:customStyle="1" w:styleId="BalloonTextChar">
    <w:name w:val="Balloon Text Char"/>
    <w:link w:val="BalloonText"/>
    <w:rsid w:val="00E23D9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098068">
      <w:bodyDiv w:val="1"/>
      <w:marLeft w:val="0"/>
      <w:marRight w:val="0"/>
      <w:marTop w:val="0"/>
      <w:marBottom w:val="0"/>
      <w:divBdr>
        <w:top w:val="none" w:sz="0" w:space="0" w:color="auto"/>
        <w:left w:val="none" w:sz="0" w:space="0" w:color="auto"/>
        <w:bottom w:val="none" w:sz="0" w:space="0" w:color="auto"/>
        <w:right w:val="none" w:sz="0" w:space="0" w:color="auto"/>
      </w:divBdr>
    </w:div>
    <w:div w:id="368915431">
      <w:bodyDiv w:val="1"/>
      <w:marLeft w:val="0"/>
      <w:marRight w:val="0"/>
      <w:marTop w:val="0"/>
      <w:marBottom w:val="0"/>
      <w:divBdr>
        <w:top w:val="none" w:sz="0" w:space="0" w:color="auto"/>
        <w:left w:val="none" w:sz="0" w:space="0" w:color="auto"/>
        <w:bottom w:val="none" w:sz="0" w:space="0" w:color="auto"/>
        <w:right w:val="none" w:sz="0" w:space="0" w:color="auto"/>
      </w:divBdr>
    </w:div>
    <w:div w:id="503473558">
      <w:bodyDiv w:val="1"/>
      <w:marLeft w:val="0"/>
      <w:marRight w:val="0"/>
      <w:marTop w:val="0"/>
      <w:marBottom w:val="0"/>
      <w:divBdr>
        <w:top w:val="none" w:sz="0" w:space="0" w:color="auto"/>
        <w:left w:val="none" w:sz="0" w:space="0" w:color="auto"/>
        <w:bottom w:val="none" w:sz="0" w:space="0" w:color="auto"/>
        <w:right w:val="none" w:sz="0" w:space="0" w:color="auto"/>
      </w:divBdr>
    </w:div>
    <w:div w:id="1130708564">
      <w:bodyDiv w:val="1"/>
      <w:marLeft w:val="0"/>
      <w:marRight w:val="0"/>
      <w:marTop w:val="0"/>
      <w:marBottom w:val="0"/>
      <w:divBdr>
        <w:top w:val="none" w:sz="0" w:space="0" w:color="auto"/>
        <w:left w:val="none" w:sz="0" w:space="0" w:color="auto"/>
        <w:bottom w:val="none" w:sz="0" w:space="0" w:color="auto"/>
        <w:right w:val="none" w:sz="0" w:space="0" w:color="auto"/>
      </w:divBdr>
    </w:div>
    <w:div w:id="1674724361">
      <w:bodyDiv w:val="1"/>
      <w:marLeft w:val="0"/>
      <w:marRight w:val="0"/>
      <w:marTop w:val="0"/>
      <w:marBottom w:val="0"/>
      <w:divBdr>
        <w:top w:val="none" w:sz="0" w:space="0" w:color="auto"/>
        <w:left w:val="none" w:sz="0" w:space="0" w:color="auto"/>
        <w:bottom w:val="none" w:sz="0" w:space="0" w:color="auto"/>
        <w:right w:val="none" w:sz="0" w:space="0" w:color="auto"/>
      </w:divBdr>
    </w:div>
    <w:div w:id="176056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3" Type="http://schemas.openxmlformats.org/officeDocument/2006/relationships/settings" Target="settings.xml"/><Relationship Id="rId7" Type="http://schemas.openxmlformats.org/officeDocument/2006/relationships/hyperlink" Target="http://www.dep.state.fl.us/air/emission/bioenergy/polk_us_ecogen.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1227</Words>
  <Characters>6999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Public Notice of Intent to Issue Air Permit</vt:lpstr>
    </vt:vector>
  </TitlesOfParts>
  <Company>Kennedy/Jenks Consultants</Company>
  <LinksUpToDate>false</LinksUpToDate>
  <CharactersWithSpaces>8210</CharactersWithSpaces>
  <SharedDoc>false</SharedDoc>
  <HLinks>
    <vt:vector size="12" baseType="variant">
      <vt:variant>
        <vt:i4>589948</vt:i4>
      </vt:variant>
      <vt:variant>
        <vt:i4>3</vt:i4>
      </vt:variant>
      <vt:variant>
        <vt:i4>0</vt:i4>
      </vt:variant>
      <vt:variant>
        <vt:i4>5</vt:i4>
      </vt:variant>
      <vt:variant>
        <vt:lpwstr>mailto:Agency.Clerk@dep.state.fl.us</vt:lpwstr>
      </vt:variant>
      <vt:variant>
        <vt:lpwstr/>
      </vt:variant>
      <vt:variant>
        <vt:i4>4128817</vt:i4>
      </vt:variant>
      <vt:variant>
        <vt:i4>0</vt:i4>
      </vt:variant>
      <vt:variant>
        <vt:i4>0</vt:i4>
      </vt:variant>
      <vt:variant>
        <vt:i4>5</vt:i4>
      </vt:variant>
      <vt:variant>
        <vt:lpwstr>http://www.dep.state.fl.us/air/emission/bioenergy/polk_us_ecogen.htm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 of Intent to Issue Air Permit</dc:title>
  <dc:subject>ADAGE Gadsden</dc:subject>
  <dc:creator>Al Linero</dc:creator>
  <cp:lastModifiedBy>Read, David</cp:lastModifiedBy>
  <cp:revision>5</cp:revision>
  <cp:lastPrinted>2014-03-14T18:01:00Z</cp:lastPrinted>
  <dcterms:created xsi:type="dcterms:W3CDTF">2014-03-14T20:07:00Z</dcterms:created>
  <dcterms:modified xsi:type="dcterms:W3CDTF">2014-03-16T15:07:00Z</dcterms:modified>
</cp:coreProperties>
</file>